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051"/>
        <w:gridCol w:w="1810"/>
      </w:tblGrid>
      <w:tr w:rsidR="005E5E02" w:rsidRPr="005E5E02" w:rsidTr="005E5E02">
        <w:trPr>
          <w:tblCellSpacing w:w="0" w:type="dxa"/>
        </w:trPr>
        <w:tc>
          <w:tcPr>
            <w:tcW w:w="6394" w:type="dxa"/>
            <w:vAlign w:val="center"/>
            <w:hideMark/>
          </w:tcPr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GOVERNO DO DISTRITO FEDERAL</w:t>
            </w:r>
          </w:p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COMPANHIA URBANIZADORA DA NOVA CAPITAL DO BRASIL</w:t>
            </w:r>
          </w:p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Presidência da Companhia Urbanizadora da Nova Capital do Brasil</w:t>
            </w:r>
          </w:p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Assessoria Especial da Presidência</w:t>
            </w:r>
          </w:p>
        </w:tc>
        <w:tc>
          <w:tcPr>
            <w:tcW w:w="887" w:type="dxa"/>
            <w:vAlign w:val="center"/>
            <w:hideMark/>
          </w:tcPr>
          <w:p w:rsidR="005E5E02" w:rsidRPr="005E5E02" w:rsidRDefault="005E5E02" w:rsidP="005E5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5E5E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5E5E02" w:rsidRPr="005E5E02" w:rsidRDefault="005E5E02" w:rsidP="005E5E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68"/>
        <w:gridCol w:w="3645"/>
      </w:tblGrid>
      <w:tr w:rsidR="005E5E02" w:rsidRPr="005E5E02" w:rsidTr="005E5E02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E02" w:rsidRPr="005E5E02" w:rsidRDefault="005E5E02" w:rsidP="005E5E02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lang w:eastAsia="pt-BR"/>
              </w:rPr>
              <w:t>Instrução Normativa n.º 004/2021 - NOVACAP/PRES/ASESP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5E02" w:rsidRPr="005E5E02" w:rsidRDefault="005E5E02" w:rsidP="005E5E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5E5E02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 DIRETORIA EXECUTIVA DA COMPANHIA URBANIZADORA DA NOVA CAPITAL DO BRASIL – NOVACAP</w:t>
      </w:r>
      <w:r w:rsidRPr="005E5E02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, no uso da competência e das atribuições que lhe confere o art. 24, inciso II, do Estatuto Social vigente, e, ainda,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CONSIDERANDO a orientação da Secretaria de Estado de Economia do Distrito Federal acerca da autorização e disponibilização pertinente à execução e ao pagamento de horas extras; </w:t>
      </w:r>
      <w:proofErr w:type="gramStart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e</w:t>
      </w:r>
      <w:proofErr w:type="gramEnd"/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CONSIDERANDO que o Sistema Único de Gestão de Recursos Humanos - SIGRHNET, somente será aberto para a rubrica em questão, se houver autorização;</w:t>
      </w:r>
    </w:p>
    <w:p w:rsidR="005E5E02" w:rsidRPr="005E5E02" w:rsidRDefault="005E5E02" w:rsidP="005E5E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E5E0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RESOLVE: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Art. 1º A execução de horas extras, no âmbito da NOVACAP, somente será autorizada para realização de serviços inadiáveis, sendo observado o limite orçamentário autorizado pela Secretaria de Economia do Distrito Federal.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 Parágrafo Único. É dever </w:t>
      </w:r>
      <w:proofErr w:type="gramStart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da Diretoria demandante adotar</w:t>
      </w:r>
      <w:proofErr w:type="gramEnd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escala de revezamento dos empregados para compensação de Horas Extras executadas, conforme determinado na Nota Técnica, sob pena de responsabilidade. Caso seja </w:t>
      </w:r>
      <w:proofErr w:type="gramStart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demonstrado</w:t>
      </w:r>
      <w:proofErr w:type="gramEnd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pela Diretoria demandante a inviabilidade de execução de escala de revezamento, deverá ser aprovado junto a Diretoria Executiva um planejamento mensal para execução de horas Extras com o impacto financeiro.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Art. 2º A Diretoria demandante das horas extras deverá elaborar um planejamento mensal de execução e submeter à Diretoria Executiva para aprovação.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§ 1º Após a autorização mensal pela Diretoria Executiva, a Diretoria demandante solicitará à Diretoria Administrativa autorização para execução semanal, a qual encaminhará ao Departamento de Gestão de Pessoas - DEGEP para que este emita a planilha de cálculo com o impacto financeiro.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§ 2º O Departamento de Gestão de Pessoas - DEGEP restituirá o processo à Diretoria Administrativa com a planilha de cálculo e os valores pagos de horas extras de janeiro até a data atual, e, após, a Diretoria Administrativa solicitará a autorização orçamentária para a Diretoria Financeira.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§ 3º A Diretoria Financeira retornará o processo à Diretoria Administrativa com manifestação sobre a viabilidade orçamentária para a execução das horas extras solicitadas.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 § 4º A solicitação à Diretoria Administrativa para execução de hora </w:t>
      </w:r>
      <w:proofErr w:type="gramStart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extra deve</w:t>
      </w:r>
      <w:proofErr w:type="gramEnd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se dar, no mínimo, uma semana da data da execução.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§ 5º A Diretoria Administrativa retornará à Diretoria demandante com a manifestação de autorização de execução ou não, baseada na manifestação da Diretoria Financeira.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lastRenderedPageBreak/>
        <w:t>Art. 3º Após a execução dos serviços extraordinários, a Diretoria demandante deverá inserir no processo principal em que consta a autorização das horas extras, a relação dos empregados que efetivamente as executaram, com as respectivas datas e quantidades, encaminhando-a para a Diretoria Administrativa, a qual solicitará ao Diretor-Presidente, autorização para pagamento devido.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 Art. 4º </w:t>
      </w:r>
      <w:proofErr w:type="gramStart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Após</w:t>
      </w:r>
      <w:proofErr w:type="gramEnd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autorizado o pagamento pelo Diretor-Presidente, os autos deverão retornar à Diretoria Administrativa para envio ao Departamento de Gestão de Pessoa e inclusão na folha de pagamento do mês subsequente à realização das horas extras.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Art. 5º As Diretorias demandantes deverão encaminhar a solicitação de acesso de empregados às dependências da Companhia, para execução de serviços extraordinários em dias não úteis, com antecedência mínima de 48 (quarenta e oito) horas.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Art. 6º A fim de reduzir as despesas com serviços extraordinários, as Diretorias demandantes deverão proceder com estudos técnicos para </w:t>
      </w:r>
      <w:proofErr w:type="gramStart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implementação</w:t>
      </w:r>
      <w:proofErr w:type="gramEnd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 xml:space="preserve"> da execução indireta de atividades de baixa complexidade e acessórias, além da adoção de horários especiais de trabalho, tais como escala de revezamento.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Art. 7º Os casos omissos deverão ser submetidos à Diretoria Executiva para deliberação.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Art. 8 º Revogam-se as disposições em contrário, em especial, a Instrução n.º 134/2020 - NOVACAP/PRES (</w:t>
      </w:r>
      <w:proofErr w:type="spellStart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Doc</w:t>
      </w:r>
      <w:proofErr w:type="spellEnd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. SEI/GDF </w:t>
      </w:r>
      <w:hyperlink r:id="rId4" w:tgtFrame="_blank" w:history="1">
        <w:r w:rsidRPr="005E5E0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t-BR"/>
          </w:rPr>
          <w:t>37060850</w:t>
        </w:r>
      </w:hyperlink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) e a Instrução n.º 149/2020 - NOVACAP/PRES (</w:t>
      </w:r>
      <w:proofErr w:type="spellStart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Doc</w:t>
      </w:r>
      <w:proofErr w:type="spellEnd"/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. SEI/GDF </w:t>
      </w:r>
      <w:hyperlink r:id="rId5" w:tgtFrame="_blank" w:history="1">
        <w:r w:rsidRPr="005E5E0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t-BR"/>
          </w:rPr>
          <w:t>37820128</w:t>
        </w:r>
      </w:hyperlink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).</w:t>
      </w:r>
    </w:p>
    <w:p w:rsidR="005E5E02" w:rsidRPr="005E5E02" w:rsidRDefault="005E5E02" w:rsidP="005E5E02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</w:pPr>
      <w:r w:rsidRPr="005E5E02">
        <w:rPr>
          <w:rFonts w:ascii="Calibri" w:eastAsia="Times New Roman" w:hAnsi="Calibri" w:cs="Times New Roman"/>
          <w:color w:val="000000"/>
          <w:sz w:val="24"/>
          <w:szCs w:val="24"/>
          <w:lang w:eastAsia="pt-BR"/>
        </w:rPr>
        <w:t> Art. 9º Esta Instrução entra em vigor na data de sua assinatura.</w:t>
      </w:r>
    </w:p>
    <w:tbl>
      <w:tblPr>
        <w:tblW w:w="87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4"/>
        <w:gridCol w:w="3446"/>
      </w:tblGrid>
      <w:tr w:rsidR="005E5E02" w:rsidRPr="005E5E02" w:rsidTr="005E5E02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5E5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FERNANDO RODRIGUES FERREIRA LEITE</w:t>
            </w:r>
          </w:p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Diretor-Presidente</w:t>
            </w:r>
          </w:p>
        </w:tc>
      </w:tr>
      <w:tr w:rsidR="005E5E02" w:rsidRPr="005E5E02" w:rsidTr="005E5E02">
        <w:trPr>
          <w:tblCellSpacing w:w="7" w:type="dxa"/>
        </w:trPr>
        <w:tc>
          <w:tcPr>
            <w:tcW w:w="0" w:type="auto"/>
            <w:vAlign w:val="center"/>
            <w:hideMark/>
          </w:tcPr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E5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EDGARD ANTONIO LEMOS</w:t>
            </w:r>
            <w:proofErr w:type="gramEnd"/>
            <w:r w:rsidRPr="005E5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ALVES</w:t>
            </w:r>
          </w:p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Diretor Jurídico</w:t>
            </w:r>
          </w:p>
        </w:tc>
        <w:tc>
          <w:tcPr>
            <w:tcW w:w="0" w:type="auto"/>
            <w:vAlign w:val="center"/>
            <w:hideMark/>
          </w:tcPr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ELZO BERTOLDO GOMES</w:t>
            </w:r>
          </w:p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Diretor Administrativo</w:t>
            </w:r>
          </w:p>
        </w:tc>
      </w:tr>
      <w:tr w:rsidR="005E5E02" w:rsidRPr="005E5E02" w:rsidTr="005E5E02">
        <w:trPr>
          <w:tblCellSpacing w:w="7" w:type="dxa"/>
        </w:trPr>
        <w:tc>
          <w:tcPr>
            <w:tcW w:w="0" w:type="auto"/>
            <w:vAlign w:val="center"/>
            <w:hideMark/>
          </w:tcPr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RUBENS DE OLIVEIRA PIMENTEL JÚNIOR</w:t>
            </w:r>
          </w:p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Diretor Financeiro</w:t>
            </w:r>
          </w:p>
        </w:tc>
        <w:tc>
          <w:tcPr>
            <w:tcW w:w="0" w:type="auto"/>
            <w:vAlign w:val="center"/>
            <w:hideMark/>
          </w:tcPr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E5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SERGIO ANTUNES LEMOS</w:t>
            </w:r>
            <w:proofErr w:type="gramEnd"/>
          </w:p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Diretor de Urbanização</w:t>
            </w:r>
          </w:p>
        </w:tc>
      </w:tr>
      <w:tr w:rsidR="005E5E02" w:rsidRPr="005E5E02" w:rsidTr="005E5E02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VIRGINIA CUSSI SANCHEZ</w:t>
            </w:r>
          </w:p>
          <w:p w:rsidR="005E5E02" w:rsidRPr="005E5E02" w:rsidRDefault="005E5E02" w:rsidP="005E5E0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5E5E0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Diretora de Edificações</w:t>
            </w:r>
          </w:p>
        </w:tc>
      </w:tr>
    </w:tbl>
    <w:p w:rsidR="00AB3666" w:rsidRDefault="00AB3666"/>
    <w:sectPr w:rsidR="00AB3666" w:rsidSect="005E5E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5E02"/>
    <w:rsid w:val="005E5E02"/>
    <w:rsid w:val="00AB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E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5E02"/>
    <w:rPr>
      <w:b/>
      <w:bCs/>
    </w:rPr>
  </w:style>
  <w:style w:type="paragraph" w:customStyle="1" w:styleId="i18tabelatextoalinhadoesquerda">
    <w:name w:val="i18_tabela_texto_alinhado_esquerda"/>
    <w:basedOn w:val="Normal"/>
    <w:rsid w:val="005E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5E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E5E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i.df.gov.br/sei/controlador.php?acao=protocolo_visualizar&amp;id_protocolo=44136710&amp;id_procedimento_atual=43290935&amp;infra_sistema=100000100&amp;infra_unidade_atual=110011053&amp;infra_hash=e22ce8a06c8789c5c53542957fdbe6b2a45d073c4090af50b981e3200e7668c5" TargetMode="External"/><Relationship Id="rId4" Type="http://schemas.openxmlformats.org/officeDocument/2006/relationships/hyperlink" Target="https://sei.df.gov.br/sei/controlador.php?acao=protocolo_visualizar&amp;id_protocolo=43294015&amp;id_procedimento_atual=43290935&amp;infra_sistema=100000100&amp;infra_unidade_atual=110011053&amp;infra_hash=a220c243afb92af07040be1f1cb5617d8885747e31ac8ae2e2ace40c77ec7e0b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maurilio.freitas</dc:creator>
  <cp:lastModifiedBy>maurilio.freitas</cp:lastModifiedBy>
  <cp:revision>1</cp:revision>
  <dcterms:created xsi:type="dcterms:W3CDTF">2021-03-23T13:12:00Z</dcterms:created>
  <dcterms:modified xsi:type="dcterms:W3CDTF">2021-03-23T13:14:00Z</dcterms:modified>
</cp:coreProperties>
</file>